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B74" w:rsidRPr="001B2B74" w:rsidRDefault="001B2B74" w:rsidP="001B2B74">
      <w:pPr>
        <w:spacing w:line="360" w:lineRule="auto"/>
        <w:jc w:val="center"/>
        <w:rPr>
          <w:rFonts w:cs="David" w:hint="cs"/>
          <w:b/>
          <w:bCs/>
          <w:sz w:val="28"/>
          <w:szCs w:val="28"/>
          <w:rtl/>
        </w:rPr>
      </w:pPr>
      <w:r w:rsidRPr="001B2B74">
        <w:rPr>
          <w:rFonts w:cs="David" w:hint="cs"/>
          <w:b/>
          <w:bCs/>
          <w:sz w:val="28"/>
          <w:szCs w:val="28"/>
          <w:rtl/>
        </w:rPr>
        <w:t xml:space="preserve">סוגיית אבדה </w:t>
      </w:r>
      <w:proofErr w:type="spellStart"/>
      <w:r w:rsidRPr="001B2B74">
        <w:rPr>
          <w:rFonts w:cs="David" w:hint="cs"/>
          <w:b/>
          <w:bCs/>
          <w:sz w:val="28"/>
          <w:szCs w:val="28"/>
          <w:rtl/>
        </w:rPr>
        <w:t>וגלימא</w:t>
      </w:r>
      <w:proofErr w:type="spellEnd"/>
    </w:p>
    <w:p w:rsidR="001E0ED7" w:rsidRPr="001B2B74" w:rsidRDefault="00CC0629" w:rsidP="001B2B74">
      <w:pPr>
        <w:spacing w:line="360" w:lineRule="auto"/>
        <w:jc w:val="both"/>
        <w:rPr>
          <w:rFonts w:cs="David" w:hint="cs"/>
          <w:b/>
          <w:bCs/>
          <w:sz w:val="24"/>
          <w:szCs w:val="24"/>
          <w:rtl/>
        </w:rPr>
      </w:pPr>
      <w:r w:rsidRPr="001B2B74">
        <w:rPr>
          <w:rFonts w:cs="David" w:hint="cs"/>
          <w:b/>
          <w:bCs/>
          <w:sz w:val="24"/>
          <w:szCs w:val="24"/>
          <w:rtl/>
        </w:rPr>
        <w:t>א. הסבר את מחלוקת רב יהודה ורב נחמן ואת טעמו של כל אחד מהם</w:t>
      </w:r>
      <w:r w:rsidR="003F0ABB" w:rsidRPr="001B2B74">
        <w:rPr>
          <w:rFonts w:cs="David" w:hint="cs"/>
          <w:b/>
          <w:bCs/>
          <w:sz w:val="24"/>
          <w:szCs w:val="24"/>
          <w:rtl/>
        </w:rPr>
        <w:t>.</w:t>
      </w:r>
    </w:p>
    <w:p w:rsidR="003F0ABB" w:rsidRPr="001B2B74" w:rsidRDefault="003F0ABB" w:rsidP="001B2B74">
      <w:pPr>
        <w:spacing w:line="360" w:lineRule="auto"/>
        <w:jc w:val="both"/>
        <w:rPr>
          <w:rFonts w:cs="David" w:hint="cs"/>
          <w:sz w:val="24"/>
          <w:szCs w:val="24"/>
          <w:rtl/>
        </w:rPr>
      </w:pPr>
      <w:r w:rsidRPr="001B2B74">
        <w:rPr>
          <w:rFonts w:cs="David" w:hint="cs"/>
          <w:sz w:val="24"/>
          <w:szCs w:val="24"/>
          <w:rtl/>
        </w:rPr>
        <w:t xml:space="preserve">עד כה למדנו שהמוצא אבדה ואינו יודע למי היא שייכת צריך להכריז. בסוגיה זו דנים האמוראים במהות ההכרזה </w:t>
      </w:r>
      <w:r w:rsidRPr="001B2B74">
        <w:rPr>
          <w:rFonts w:cs="David"/>
          <w:sz w:val="24"/>
          <w:szCs w:val="24"/>
          <w:rtl/>
        </w:rPr>
        <w:t>–</w:t>
      </w:r>
      <w:r w:rsidRPr="001B2B74">
        <w:rPr>
          <w:rFonts w:cs="David" w:hint="cs"/>
          <w:sz w:val="24"/>
          <w:szCs w:val="24"/>
          <w:rtl/>
        </w:rPr>
        <w:t xml:space="preserve"> מה בדיוק המוצא מכריז?</w:t>
      </w:r>
    </w:p>
    <w:p w:rsidR="003F0ABB" w:rsidRPr="001B2B74" w:rsidRDefault="003F0ABB" w:rsidP="001B2B74">
      <w:pPr>
        <w:spacing w:line="360" w:lineRule="auto"/>
        <w:jc w:val="both"/>
        <w:rPr>
          <w:rFonts w:cs="David" w:hint="cs"/>
          <w:sz w:val="24"/>
          <w:szCs w:val="24"/>
          <w:rtl/>
        </w:rPr>
      </w:pPr>
      <w:r w:rsidRPr="001B2B74">
        <w:rPr>
          <w:rFonts w:cs="David" w:hint="cs"/>
          <w:sz w:val="24"/>
          <w:szCs w:val="24"/>
          <w:rtl/>
        </w:rPr>
        <w:t>רב יהודה סובר שהמוצא מכריז '</w:t>
      </w:r>
      <w:proofErr w:type="spellStart"/>
      <w:r w:rsidRPr="001B2B74">
        <w:rPr>
          <w:rFonts w:cs="David" w:hint="cs"/>
          <w:sz w:val="24"/>
          <w:szCs w:val="24"/>
          <w:rtl/>
        </w:rPr>
        <w:t>אבידתא</w:t>
      </w:r>
      <w:proofErr w:type="spellEnd"/>
      <w:r w:rsidRPr="001B2B74">
        <w:rPr>
          <w:rFonts w:cs="David" w:hint="cs"/>
          <w:sz w:val="24"/>
          <w:szCs w:val="24"/>
          <w:rtl/>
        </w:rPr>
        <w:t>', כלומר: עליו להכריז שמצא אבדה ולא לציין מה בדיוק הוא מצא. לעומתו רב נחמן סובר שהמוצא מכריז '</w:t>
      </w:r>
      <w:proofErr w:type="spellStart"/>
      <w:r w:rsidRPr="001B2B74">
        <w:rPr>
          <w:rFonts w:cs="David" w:hint="cs"/>
          <w:sz w:val="24"/>
          <w:szCs w:val="24"/>
          <w:rtl/>
        </w:rPr>
        <w:t>גלימא</w:t>
      </w:r>
      <w:proofErr w:type="spellEnd"/>
      <w:r w:rsidRPr="001B2B74">
        <w:rPr>
          <w:rFonts w:cs="David" w:hint="cs"/>
          <w:sz w:val="24"/>
          <w:szCs w:val="24"/>
          <w:rtl/>
        </w:rPr>
        <w:t>', כלומר: עליו לציין באופן ספציפי מה הוא מצא.</w:t>
      </w:r>
    </w:p>
    <w:p w:rsidR="003F0ABB" w:rsidRPr="001B2B74" w:rsidRDefault="003F0ABB" w:rsidP="001B2B74">
      <w:pPr>
        <w:spacing w:line="360" w:lineRule="auto"/>
        <w:jc w:val="both"/>
        <w:rPr>
          <w:rFonts w:cs="David" w:hint="cs"/>
          <w:sz w:val="24"/>
          <w:szCs w:val="24"/>
          <w:rtl/>
        </w:rPr>
      </w:pPr>
      <w:r w:rsidRPr="001B2B74">
        <w:rPr>
          <w:rFonts w:cs="David" w:hint="cs"/>
          <w:sz w:val="24"/>
          <w:szCs w:val="24"/>
          <w:rtl/>
        </w:rPr>
        <w:t xml:space="preserve">סברתו של רב יהודה היא החשש מפני הרמאי </w:t>
      </w:r>
      <w:r w:rsidRPr="001B2B74">
        <w:rPr>
          <w:rFonts w:cs="David"/>
          <w:sz w:val="24"/>
          <w:szCs w:val="24"/>
          <w:rtl/>
        </w:rPr>
        <w:t>–</w:t>
      </w:r>
      <w:r w:rsidRPr="001B2B74">
        <w:rPr>
          <w:rFonts w:cs="David" w:hint="cs"/>
          <w:sz w:val="24"/>
          <w:szCs w:val="24"/>
          <w:rtl/>
        </w:rPr>
        <w:t xml:space="preserve"> אם נחייב את המוצא להכריז מה בדיוק הוא מצא (כשיטת רב נחמן), הרי שנקל על אדם רמאי לקחת את האבדה; כל שיידרש ממנו הוא להגיד נכונה את הסימנים.</w:t>
      </w:r>
      <w:r w:rsidR="001B2B74">
        <w:rPr>
          <w:rFonts w:cs="David" w:hint="cs"/>
          <w:sz w:val="24"/>
          <w:szCs w:val="24"/>
          <w:rtl/>
        </w:rPr>
        <w:t xml:space="preserve"> לפיכך המוצא יכריז רק שמצא אבדה, וכך נשמור על האבדה מפני הרמאים.</w:t>
      </w:r>
    </w:p>
    <w:p w:rsidR="003F0ABB" w:rsidRPr="001B2B74" w:rsidRDefault="003F0ABB" w:rsidP="001B2B74">
      <w:pPr>
        <w:spacing w:line="360" w:lineRule="auto"/>
        <w:jc w:val="both"/>
        <w:rPr>
          <w:rFonts w:cs="David" w:hint="cs"/>
          <w:sz w:val="24"/>
          <w:szCs w:val="24"/>
          <w:rtl/>
        </w:rPr>
      </w:pPr>
      <w:r w:rsidRPr="001B2B74">
        <w:rPr>
          <w:rFonts w:cs="David" w:hint="cs"/>
          <w:sz w:val="24"/>
          <w:szCs w:val="24"/>
          <w:rtl/>
        </w:rPr>
        <w:t xml:space="preserve">סברתו של רב נחמן היא שיש גבול לחשש מפני הרמאי, שהרי אם כן אין לדבר סוף. כלומר: מרוב הרצון לשמור על האבדה מפני הרמאי, נמצא שרב יהודה מקשה על המאבד לקבל את אבדתו בחזרה. </w:t>
      </w:r>
      <w:r w:rsidR="001B2B74" w:rsidRPr="001B2B74">
        <w:rPr>
          <w:rFonts w:cs="David" w:hint="cs"/>
          <w:sz w:val="24"/>
          <w:szCs w:val="24"/>
          <w:rtl/>
        </w:rPr>
        <w:t>לפיכך יכריז המוצא על שם החפץ וכך יהיה על המאבד רק להביא את סימניה.</w:t>
      </w:r>
    </w:p>
    <w:p w:rsidR="001B2B74" w:rsidRPr="001B2B74" w:rsidRDefault="001B2B74" w:rsidP="001B2B74">
      <w:pPr>
        <w:spacing w:line="360" w:lineRule="auto"/>
        <w:jc w:val="both"/>
        <w:rPr>
          <w:rFonts w:cs="David"/>
          <w:sz w:val="24"/>
          <w:szCs w:val="24"/>
          <w:rtl/>
        </w:rPr>
      </w:pPr>
    </w:p>
    <w:p w:rsidR="00CC0629" w:rsidRPr="001B2B74" w:rsidRDefault="00CC0629" w:rsidP="001B2B74">
      <w:pPr>
        <w:spacing w:line="360" w:lineRule="auto"/>
        <w:jc w:val="both"/>
        <w:rPr>
          <w:rFonts w:cs="David"/>
          <w:b/>
          <w:bCs/>
          <w:sz w:val="24"/>
          <w:szCs w:val="24"/>
          <w:rtl/>
        </w:rPr>
      </w:pPr>
      <w:r w:rsidRPr="001B2B74">
        <w:rPr>
          <w:rFonts w:cs="David" w:hint="cs"/>
          <w:b/>
          <w:bCs/>
          <w:sz w:val="24"/>
          <w:szCs w:val="24"/>
          <w:rtl/>
        </w:rPr>
        <w:t>ב. לשיטת מי מסייעת המשנה ומדוע, וכיצד השני יסביר את המשנה לפי שיטתו?</w:t>
      </w:r>
    </w:p>
    <w:p w:rsidR="00CC0629" w:rsidRPr="001B2B74" w:rsidRDefault="00CC0629" w:rsidP="001B2B74">
      <w:pPr>
        <w:spacing w:line="360" w:lineRule="auto"/>
        <w:jc w:val="both"/>
        <w:rPr>
          <w:rFonts w:cs="David"/>
          <w:sz w:val="24"/>
          <w:szCs w:val="24"/>
          <w:rtl/>
        </w:rPr>
      </w:pPr>
      <w:r w:rsidRPr="001B2B74">
        <w:rPr>
          <w:rFonts w:cs="David" w:hint="cs"/>
          <w:sz w:val="24"/>
          <w:szCs w:val="24"/>
          <w:rtl/>
        </w:rPr>
        <w:t xml:space="preserve">במשנה נאמר "אמר את האבדה ולא אמר את סימניה </w:t>
      </w:r>
      <w:r w:rsidRPr="001B2B74">
        <w:rPr>
          <w:rFonts w:cs="David"/>
          <w:sz w:val="24"/>
          <w:szCs w:val="24"/>
          <w:rtl/>
        </w:rPr>
        <w:t>–</w:t>
      </w:r>
      <w:r w:rsidRPr="001B2B74">
        <w:rPr>
          <w:rFonts w:cs="David" w:hint="cs"/>
          <w:sz w:val="24"/>
          <w:szCs w:val="24"/>
          <w:rtl/>
        </w:rPr>
        <w:t xml:space="preserve"> לא </w:t>
      </w:r>
      <w:proofErr w:type="spellStart"/>
      <w:r w:rsidRPr="001B2B74">
        <w:rPr>
          <w:rFonts w:cs="David" w:hint="cs"/>
          <w:sz w:val="24"/>
          <w:szCs w:val="24"/>
          <w:rtl/>
        </w:rPr>
        <w:t>יתן</w:t>
      </w:r>
      <w:proofErr w:type="spellEnd"/>
      <w:r w:rsidRPr="001B2B74">
        <w:rPr>
          <w:rFonts w:cs="David" w:hint="cs"/>
          <w:sz w:val="24"/>
          <w:szCs w:val="24"/>
          <w:rtl/>
        </w:rPr>
        <w:t xml:space="preserve"> לו" </w:t>
      </w:r>
      <w:r w:rsidRPr="001B2B74">
        <w:rPr>
          <w:rFonts w:cs="David"/>
          <w:sz w:val="24"/>
          <w:szCs w:val="24"/>
          <w:rtl/>
        </w:rPr>
        <w:t>–</w:t>
      </w:r>
      <w:r w:rsidRPr="001B2B74">
        <w:rPr>
          <w:rFonts w:cs="David" w:hint="cs"/>
          <w:sz w:val="24"/>
          <w:szCs w:val="24"/>
          <w:rtl/>
        </w:rPr>
        <w:t xml:space="preserve"> כלומר: גם אם המאבד אמר נכון את שם האבדה אך לא נתן את סימניה, המוצא לא יחזיר לו את החפץ.</w:t>
      </w:r>
    </w:p>
    <w:p w:rsidR="00CC0629" w:rsidRPr="001B2B74" w:rsidRDefault="00CC0629" w:rsidP="001B2B74">
      <w:pPr>
        <w:spacing w:line="360" w:lineRule="auto"/>
        <w:jc w:val="both"/>
        <w:rPr>
          <w:rFonts w:cs="David"/>
          <w:sz w:val="24"/>
          <w:szCs w:val="24"/>
          <w:rtl/>
        </w:rPr>
      </w:pPr>
      <w:r w:rsidRPr="001B2B74">
        <w:rPr>
          <w:rFonts w:cs="David" w:hint="cs"/>
          <w:sz w:val="24"/>
          <w:szCs w:val="24"/>
          <w:rtl/>
        </w:rPr>
        <w:t>המשנה מסייעת לשיטת רב יהודה מכיוון שהוא דורש מן המוצא לומר שמצא אבדה באופן כללי, ומעתה על המאבד יהיה לומר את שם האבדה ולתת את סימניה. כלומר, הדין במשנה הוא שהמאבד אמר נכונה את שם האבדה, לאחר שהמוצא הכריז עליה באופן כללי, אך המאבד לא נתן את סימניה, ולפיכך המוצא לא יחזיר לו.</w:t>
      </w:r>
    </w:p>
    <w:p w:rsidR="00CC0629" w:rsidRPr="001B2B74" w:rsidRDefault="00CC0629" w:rsidP="001B2B74">
      <w:pPr>
        <w:spacing w:line="360" w:lineRule="auto"/>
        <w:jc w:val="both"/>
        <w:rPr>
          <w:rFonts w:cs="David"/>
          <w:sz w:val="24"/>
          <w:szCs w:val="24"/>
          <w:rtl/>
        </w:rPr>
      </w:pPr>
      <w:r w:rsidRPr="001B2B74">
        <w:rPr>
          <w:rFonts w:cs="David" w:hint="cs"/>
          <w:sz w:val="24"/>
          <w:szCs w:val="24"/>
          <w:rtl/>
        </w:rPr>
        <w:t xml:space="preserve">ואילו לשיטת רב נחמן יוצא שהמילים "אמר את האבדה" מיותרות </w:t>
      </w:r>
      <w:r w:rsidRPr="001B2B74">
        <w:rPr>
          <w:rFonts w:cs="David"/>
          <w:sz w:val="24"/>
          <w:szCs w:val="24"/>
          <w:rtl/>
        </w:rPr>
        <w:t>–</w:t>
      </w:r>
      <w:r w:rsidRPr="001B2B74">
        <w:rPr>
          <w:rFonts w:cs="David" w:hint="cs"/>
          <w:sz w:val="24"/>
          <w:szCs w:val="24"/>
          <w:rtl/>
        </w:rPr>
        <w:t xml:space="preserve"> מכיוון שהוא דורש מן המוצא לומר את שם האבדה, ולפיכך אין משמעות לזה שהמאבד יאמר גם הוא את שם האבדה. לפיכך היה צריך להיות כתוב במשנה רק את החצי השני של המשפט </w:t>
      </w:r>
      <w:r w:rsidRPr="001B2B74">
        <w:rPr>
          <w:rFonts w:cs="David"/>
          <w:sz w:val="24"/>
          <w:szCs w:val="24"/>
          <w:rtl/>
        </w:rPr>
        <w:t>–</w:t>
      </w:r>
      <w:r w:rsidRPr="001B2B74">
        <w:rPr>
          <w:rFonts w:cs="David" w:hint="cs"/>
          <w:sz w:val="24"/>
          <w:szCs w:val="24"/>
          <w:rtl/>
        </w:rPr>
        <w:t xml:space="preserve"> "ולא אמר את סימניה". </w:t>
      </w:r>
    </w:p>
    <w:p w:rsidR="00CC0629" w:rsidRPr="001B2B74" w:rsidRDefault="00CC0629" w:rsidP="001B2B74">
      <w:pPr>
        <w:spacing w:line="360" w:lineRule="auto"/>
        <w:jc w:val="both"/>
        <w:rPr>
          <w:rFonts w:cs="David"/>
          <w:sz w:val="24"/>
          <w:szCs w:val="24"/>
          <w:rtl/>
        </w:rPr>
      </w:pPr>
      <w:r w:rsidRPr="001B2B74">
        <w:rPr>
          <w:rFonts w:cs="David" w:hint="cs"/>
          <w:sz w:val="24"/>
          <w:szCs w:val="24"/>
          <w:rtl/>
        </w:rPr>
        <w:t>רב ספרא מסביר את המשנה לפי שיטת רב נחמן: אכן המוצא מכריז על החפץ הספציפי, ושכתוב במשנה "אמר את האבדה" הכוונה היא שהמאבד אמר את הסימנים של האבדה, לאחר שהמוצא הכריז על האבדה הספציפית. ואילו המילים "ולא אמר את סימניה" הכוונה היא שהמאבד לא נתן את הסימנים המובהקים של האבדה. כלומר, לפי שיטת רב ספרא, המאבד מחויב לא רק לתת סימנ</w:t>
      </w:r>
      <w:r w:rsidR="00753839" w:rsidRPr="001B2B74">
        <w:rPr>
          <w:rFonts w:cs="David" w:hint="cs"/>
          <w:sz w:val="24"/>
          <w:szCs w:val="24"/>
          <w:rtl/>
        </w:rPr>
        <w:t>ים של האבדה, אלא סימנים מובהקים.</w:t>
      </w:r>
    </w:p>
    <w:p w:rsidR="00CC0629" w:rsidRPr="001B2B74" w:rsidRDefault="00CC0629" w:rsidP="001B2B74">
      <w:pPr>
        <w:spacing w:line="360" w:lineRule="auto"/>
        <w:jc w:val="both"/>
        <w:rPr>
          <w:rFonts w:cs="David"/>
          <w:sz w:val="24"/>
          <w:szCs w:val="24"/>
        </w:rPr>
      </w:pPr>
    </w:p>
    <w:sectPr w:rsidR="00CC0629" w:rsidRPr="001B2B74" w:rsidSect="00B20D4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C0629"/>
    <w:rsid w:val="001B2B74"/>
    <w:rsid w:val="001E0ED7"/>
    <w:rsid w:val="00213BDD"/>
    <w:rsid w:val="003F0ABB"/>
    <w:rsid w:val="00410620"/>
    <w:rsid w:val="004801D8"/>
    <w:rsid w:val="004C1626"/>
    <w:rsid w:val="00753839"/>
    <w:rsid w:val="00977863"/>
    <w:rsid w:val="00A43A58"/>
    <w:rsid w:val="00B20D4A"/>
    <w:rsid w:val="00CC0629"/>
    <w:rsid w:val="00E212D8"/>
    <w:rsid w:val="00ED7A2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ED7"/>
    <w:pPr>
      <w:bidi/>
    </w:pPr>
  </w:style>
  <w:style w:type="paragraph" w:styleId="1">
    <w:name w:val="heading 1"/>
    <w:basedOn w:val="a"/>
    <w:next w:val="a"/>
    <w:link w:val="10"/>
    <w:autoRedefine/>
    <w:qFormat/>
    <w:rsid w:val="00A43A58"/>
    <w:pPr>
      <w:autoSpaceDE w:val="0"/>
      <w:autoSpaceDN w:val="0"/>
      <w:bidi w:val="0"/>
      <w:adjustRightInd w:val="0"/>
      <w:spacing w:after="0" w:line="240" w:lineRule="auto"/>
      <w:jc w:val="center"/>
      <w:outlineLvl w:val="0"/>
    </w:pPr>
    <w:rPr>
      <w:rFonts w:cs="David"/>
      <w:bCs/>
      <w:color w:val="221304"/>
      <w:sz w:val="44"/>
      <w:szCs w:val="32"/>
      <w:lang w:val="he-IL" w:eastAsia="he-IL"/>
    </w:rPr>
  </w:style>
  <w:style w:type="paragraph" w:styleId="2">
    <w:name w:val="heading 2"/>
    <w:basedOn w:val="a"/>
    <w:next w:val="a"/>
    <w:link w:val="20"/>
    <w:autoRedefine/>
    <w:uiPriority w:val="9"/>
    <w:unhideWhenUsed/>
    <w:qFormat/>
    <w:rsid w:val="004C1626"/>
    <w:pPr>
      <w:keepNext/>
      <w:keepLines/>
      <w:spacing w:before="200" w:after="0"/>
      <w:outlineLvl w:val="1"/>
    </w:pPr>
    <w:rPr>
      <w:rFonts w:asciiTheme="majorHAnsi" w:eastAsiaTheme="majorEastAsia" w:hAnsiTheme="majorHAnsi" w:cs="David"/>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A43A58"/>
    <w:rPr>
      <w:rFonts w:cs="David"/>
      <w:bCs/>
      <w:color w:val="221304"/>
      <w:sz w:val="44"/>
      <w:szCs w:val="32"/>
      <w:lang w:val="he-IL" w:eastAsia="he-IL"/>
    </w:rPr>
  </w:style>
  <w:style w:type="character" w:customStyle="1" w:styleId="20">
    <w:name w:val="כותרת 2 תו"/>
    <w:basedOn w:val="a0"/>
    <w:link w:val="2"/>
    <w:uiPriority w:val="9"/>
    <w:rsid w:val="004C1626"/>
    <w:rPr>
      <w:rFonts w:asciiTheme="majorHAnsi" w:eastAsiaTheme="majorEastAsia" w:hAnsiTheme="majorHAnsi" w:cs="David"/>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323</Words>
  <Characters>1616</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2013-02-28T07:50:00Z</dcterms:created>
  <dcterms:modified xsi:type="dcterms:W3CDTF">2013-02-28T09:28:00Z</dcterms:modified>
</cp:coreProperties>
</file>