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23" w:rsidRPr="00156190" w:rsidRDefault="004C2323" w:rsidP="00156190">
      <w:pPr>
        <w:bidi/>
        <w:spacing w:line="360" w:lineRule="auto"/>
        <w:jc w:val="center"/>
        <w:rPr>
          <w:rFonts w:cs="David"/>
          <w:b/>
          <w:bCs/>
          <w:sz w:val="28"/>
          <w:szCs w:val="28"/>
          <w:rtl/>
        </w:rPr>
      </w:pPr>
      <w:r w:rsidRPr="00156190">
        <w:rPr>
          <w:rFonts w:cs="David" w:hint="cs"/>
          <w:b/>
          <w:bCs/>
          <w:sz w:val="28"/>
          <w:szCs w:val="28"/>
          <w:rtl/>
        </w:rPr>
        <w:t>סיכום סוגיית "בטביעות העין"</w:t>
      </w:r>
    </w:p>
    <w:p w:rsidR="003D14B1" w:rsidRPr="003D14B1" w:rsidRDefault="004C2323" w:rsidP="003D14B1">
      <w:pPr>
        <w:bidi/>
        <w:spacing w:line="360" w:lineRule="auto"/>
        <w:jc w:val="both"/>
        <w:rPr>
          <w:rFonts w:cs="David" w:hint="cs"/>
          <w:sz w:val="24"/>
          <w:szCs w:val="24"/>
          <w:rtl/>
        </w:rPr>
      </w:pPr>
      <w:r w:rsidRPr="003D14B1">
        <w:rPr>
          <w:rFonts w:cs="David" w:hint="cs"/>
          <w:sz w:val="24"/>
          <w:szCs w:val="24"/>
          <w:rtl/>
        </w:rPr>
        <w:t>בתחילת הסוגיה הגמרא מצטט</w:t>
      </w:r>
      <w:r w:rsidR="007F653B" w:rsidRPr="003D14B1">
        <w:rPr>
          <w:rFonts w:cs="David" w:hint="cs"/>
          <w:sz w:val="24"/>
          <w:szCs w:val="24"/>
          <w:rtl/>
        </w:rPr>
        <w:t xml:space="preserve">ת את דברי רבי שמעון בן אלעזר (או בקיצור </w:t>
      </w:r>
      <w:r w:rsidR="007F653B" w:rsidRPr="003D14B1">
        <w:rPr>
          <w:rFonts w:cs="David"/>
          <w:sz w:val="24"/>
          <w:szCs w:val="24"/>
          <w:rtl/>
        </w:rPr>
        <w:t>–</w:t>
      </w:r>
      <w:r w:rsidR="007F653B" w:rsidRPr="003D14B1">
        <w:rPr>
          <w:rFonts w:cs="David" w:hint="cs"/>
          <w:sz w:val="24"/>
          <w:szCs w:val="24"/>
          <w:rtl/>
        </w:rPr>
        <w:t xml:space="preserve"> רשב"ע), שהופיעו במשנה בתחילת הפרק: </w:t>
      </w:r>
      <w:r w:rsidR="007F653B" w:rsidRPr="003D14B1">
        <w:rPr>
          <w:rFonts w:cs="David" w:hint="cs"/>
          <w:b/>
          <w:bCs/>
          <w:sz w:val="24"/>
          <w:szCs w:val="24"/>
          <w:rtl/>
        </w:rPr>
        <w:t xml:space="preserve">כל כלי אנפוריא </w:t>
      </w:r>
      <w:r w:rsidR="007F653B" w:rsidRPr="003D14B1">
        <w:rPr>
          <w:rFonts w:cs="David"/>
          <w:b/>
          <w:bCs/>
          <w:sz w:val="24"/>
          <w:szCs w:val="24"/>
          <w:rtl/>
        </w:rPr>
        <w:t>–</w:t>
      </w:r>
      <w:r w:rsidR="007F653B" w:rsidRPr="003D14B1">
        <w:rPr>
          <w:rFonts w:cs="David" w:hint="cs"/>
          <w:b/>
          <w:bCs/>
          <w:sz w:val="24"/>
          <w:szCs w:val="24"/>
          <w:rtl/>
        </w:rPr>
        <w:t xml:space="preserve"> הרי אלו שלו</w:t>
      </w:r>
      <w:r w:rsidR="003D14B1" w:rsidRPr="003D14B1">
        <w:rPr>
          <w:rFonts w:cs="David" w:hint="cs"/>
          <w:b/>
          <w:bCs/>
          <w:sz w:val="24"/>
          <w:szCs w:val="24"/>
          <w:rtl/>
        </w:rPr>
        <w:t>.</w:t>
      </w:r>
      <w:r w:rsidR="003D14B1" w:rsidRPr="003D14B1">
        <w:rPr>
          <w:rFonts w:cs="David" w:hint="cs"/>
          <w:sz w:val="24"/>
          <w:szCs w:val="24"/>
          <w:rtl/>
        </w:rPr>
        <w:t xml:space="preserve"> </w:t>
      </w:r>
      <w:r w:rsidR="007F653B" w:rsidRPr="003D14B1">
        <w:rPr>
          <w:rFonts w:cs="David" w:hint="cs"/>
          <w:sz w:val="24"/>
          <w:szCs w:val="24"/>
          <w:rtl/>
        </w:rPr>
        <w:t>הגמרא</w:t>
      </w:r>
      <w:r w:rsidR="003D14B1" w:rsidRPr="003D14B1">
        <w:rPr>
          <w:rFonts w:cs="David" w:hint="cs"/>
          <w:sz w:val="24"/>
          <w:szCs w:val="24"/>
          <w:rtl/>
        </w:rPr>
        <w:t xml:space="preserve"> </w:t>
      </w:r>
      <w:r w:rsidR="007F653B" w:rsidRPr="003D14B1">
        <w:rPr>
          <w:rFonts w:cs="David" w:hint="cs"/>
          <w:sz w:val="24"/>
          <w:szCs w:val="24"/>
          <w:rtl/>
        </w:rPr>
        <w:t>שואלת</w:t>
      </w:r>
      <w:r w:rsidR="003D14B1" w:rsidRPr="003D14B1">
        <w:rPr>
          <w:rFonts w:cs="David" w:hint="cs"/>
          <w:sz w:val="24"/>
          <w:szCs w:val="24"/>
          <w:rtl/>
        </w:rPr>
        <w:t xml:space="preserve">: </w:t>
      </w:r>
      <w:r w:rsidR="007F653B" w:rsidRPr="003D14B1">
        <w:rPr>
          <w:rFonts w:cs="David" w:hint="cs"/>
          <w:b/>
          <w:bCs/>
          <w:sz w:val="24"/>
          <w:szCs w:val="24"/>
          <w:rtl/>
        </w:rPr>
        <w:t>מאי אנפוריא?</w:t>
      </w:r>
      <w:r w:rsidR="007F653B" w:rsidRPr="003D14B1">
        <w:rPr>
          <w:rFonts w:cs="David" w:hint="cs"/>
          <w:sz w:val="24"/>
          <w:szCs w:val="24"/>
          <w:rtl/>
        </w:rPr>
        <w:t xml:space="preserve"> </w:t>
      </w:r>
      <w:r w:rsidR="003D14B1" w:rsidRPr="003D14B1">
        <w:rPr>
          <w:rFonts w:cs="David"/>
          <w:sz w:val="24"/>
          <w:szCs w:val="24"/>
          <w:rtl/>
        </w:rPr>
        <w:t>–</w:t>
      </w:r>
      <w:r w:rsidR="003D14B1" w:rsidRPr="003D14B1">
        <w:rPr>
          <w:rFonts w:cs="David" w:hint="cs"/>
          <w:sz w:val="24"/>
          <w:szCs w:val="24"/>
          <w:rtl/>
        </w:rPr>
        <w:t xml:space="preserve"> מהם הכלים הללו</w:t>
      </w:r>
      <w:r w:rsidR="007F653B" w:rsidRPr="003D14B1">
        <w:rPr>
          <w:rFonts w:cs="David" w:hint="cs"/>
          <w:sz w:val="24"/>
          <w:szCs w:val="24"/>
          <w:rtl/>
        </w:rPr>
        <w:t>? ועונה</w:t>
      </w:r>
      <w:r w:rsidR="003D14B1" w:rsidRPr="003D14B1">
        <w:rPr>
          <w:rFonts w:cs="David" w:hint="cs"/>
          <w:sz w:val="24"/>
          <w:szCs w:val="24"/>
          <w:rtl/>
        </w:rPr>
        <w:t>:</w:t>
      </w:r>
      <w:r w:rsidR="007F653B" w:rsidRPr="003D14B1">
        <w:rPr>
          <w:rFonts w:cs="David" w:hint="cs"/>
          <w:sz w:val="24"/>
          <w:szCs w:val="24"/>
          <w:rtl/>
        </w:rPr>
        <w:t xml:space="preserve"> </w:t>
      </w:r>
      <w:r w:rsidR="007F653B" w:rsidRPr="003D14B1">
        <w:rPr>
          <w:rFonts w:cs="David" w:hint="cs"/>
          <w:b/>
          <w:bCs/>
          <w:sz w:val="24"/>
          <w:szCs w:val="24"/>
          <w:rtl/>
        </w:rPr>
        <w:t xml:space="preserve">כלים חדשים שלא שבעתן העין, </w:t>
      </w:r>
      <w:r w:rsidR="007F653B" w:rsidRPr="003D14B1">
        <w:rPr>
          <w:rFonts w:cs="David" w:hint="cs"/>
          <w:sz w:val="24"/>
          <w:szCs w:val="24"/>
          <w:rtl/>
        </w:rPr>
        <w:t>כלומר, כלים שהם עוד חדשים לך, ואתה (או העין) עוד לא התרגלת אליהם</w:t>
      </w:r>
      <w:r w:rsidR="00B34C02" w:rsidRPr="003D14B1">
        <w:rPr>
          <w:rFonts w:cs="David" w:hint="cs"/>
          <w:sz w:val="24"/>
          <w:szCs w:val="24"/>
          <w:rtl/>
        </w:rPr>
        <w:t>.</w:t>
      </w:r>
      <w:r w:rsidR="003D14B1">
        <w:rPr>
          <w:rFonts w:cs="David" w:hint="cs"/>
          <w:sz w:val="24"/>
          <w:szCs w:val="24"/>
          <w:rtl/>
        </w:rPr>
        <w:t xml:space="preserve"> </w:t>
      </w:r>
      <w:r w:rsidR="00B34C02" w:rsidRPr="003D14B1">
        <w:rPr>
          <w:rFonts w:cs="David" w:hint="cs"/>
          <w:sz w:val="24"/>
          <w:szCs w:val="24"/>
          <w:rtl/>
        </w:rPr>
        <w:t>אך למה הדבר הזה רלוונטי?</w:t>
      </w:r>
      <w:r w:rsidR="003D14B1" w:rsidRPr="003D14B1">
        <w:rPr>
          <w:rFonts w:cs="David" w:hint="cs"/>
          <w:sz w:val="24"/>
          <w:szCs w:val="24"/>
          <w:rtl/>
        </w:rPr>
        <w:t xml:space="preserve"> </w:t>
      </w:r>
      <w:r w:rsidR="003D14B1" w:rsidRPr="003D14B1">
        <w:rPr>
          <w:rFonts w:cs="David"/>
          <w:sz w:val="24"/>
          <w:szCs w:val="24"/>
          <w:rtl/>
        </w:rPr>
        <w:t>–</w:t>
      </w:r>
      <w:r w:rsidR="003D14B1" w:rsidRPr="003D14B1">
        <w:rPr>
          <w:rFonts w:cs="David" w:hint="cs"/>
          <w:sz w:val="24"/>
          <w:szCs w:val="24"/>
          <w:rtl/>
        </w:rPr>
        <w:t xml:space="preserve"> הרי </w:t>
      </w:r>
      <w:r w:rsidR="00E85706" w:rsidRPr="003D14B1">
        <w:rPr>
          <w:rFonts w:cs="David" w:hint="cs"/>
          <w:sz w:val="24"/>
          <w:szCs w:val="24"/>
          <w:rtl/>
        </w:rPr>
        <w:t xml:space="preserve">במקרה שבאבדה יש סימן, הדין יהיה בכל מקרה חייב להכריז גם אם </w:t>
      </w:r>
      <w:r w:rsidR="003D14B1" w:rsidRPr="003D14B1">
        <w:rPr>
          <w:rFonts w:cs="David" w:hint="cs"/>
          <w:sz w:val="24"/>
          <w:szCs w:val="24"/>
          <w:rtl/>
        </w:rPr>
        <w:t xml:space="preserve">לא </w:t>
      </w:r>
      <w:r w:rsidR="00E85706" w:rsidRPr="003D14B1">
        <w:rPr>
          <w:rFonts w:cs="David" w:hint="cs"/>
          <w:sz w:val="24"/>
          <w:szCs w:val="24"/>
          <w:rtl/>
        </w:rPr>
        <w:t>שבעתן העין; ובמקרה שבאבדה אין סימן, הדין יהיה בכל מקרה הרי</w:t>
      </w:r>
      <w:r w:rsidR="003D14B1" w:rsidRPr="003D14B1">
        <w:rPr>
          <w:rFonts w:cs="David" w:hint="cs"/>
          <w:sz w:val="24"/>
          <w:szCs w:val="24"/>
          <w:rtl/>
        </w:rPr>
        <w:t xml:space="preserve"> </w:t>
      </w:r>
      <w:r w:rsidR="00E85706" w:rsidRPr="003D14B1">
        <w:rPr>
          <w:rFonts w:cs="David" w:hint="cs"/>
          <w:sz w:val="24"/>
          <w:szCs w:val="24"/>
          <w:rtl/>
        </w:rPr>
        <w:t xml:space="preserve">אלו שלו </w:t>
      </w:r>
      <w:r w:rsidR="003D14B1" w:rsidRPr="003D14B1">
        <w:rPr>
          <w:rFonts w:cs="David" w:hint="cs"/>
          <w:sz w:val="24"/>
          <w:szCs w:val="24"/>
          <w:rtl/>
        </w:rPr>
        <w:t>גם</w:t>
      </w:r>
      <w:r w:rsidR="00E85706" w:rsidRPr="003D14B1">
        <w:rPr>
          <w:rFonts w:cs="David" w:hint="cs"/>
          <w:sz w:val="24"/>
          <w:szCs w:val="24"/>
          <w:rtl/>
        </w:rPr>
        <w:t xml:space="preserve"> אם שבעתן העין</w:t>
      </w:r>
      <w:r w:rsidR="003D14B1">
        <w:rPr>
          <w:rFonts w:cs="David" w:hint="cs"/>
          <w:sz w:val="24"/>
          <w:szCs w:val="24"/>
          <w:rtl/>
        </w:rPr>
        <w:t>?!</w:t>
      </w:r>
    </w:p>
    <w:p w:rsidR="00E85706" w:rsidRPr="003D14B1" w:rsidRDefault="003D14B1" w:rsidP="003D14B1">
      <w:pPr>
        <w:bidi/>
        <w:spacing w:line="360" w:lineRule="auto"/>
        <w:jc w:val="both"/>
        <w:rPr>
          <w:rFonts w:cs="David"/>
          <w:sz w:val="24"/>
          <w:szCs w:val="24"/>
          <w:rtl/>
        </w:rPr>
      </w:pPr>
      <w:r w:rsidRPr="003D14B1">
        <w:rPr>
          <w:rFonts w:cs="David" w:hint="cs"/>
          <w:sz w:val="24"/>
          <w:szCs w:val="24"/>
          <w:rtl/>
        </w:rPr>
        <w:t>הגמרא עונה ש</w:t>
      </w:r>
      <w:r w:rsidR="00E85706" w:rsidRPr="003D14B1">
        <w:rPr>
          <w:rFonts w:cs="David" w:hint="cs"/>
          <w:sz w:val="24"/>
          <w:szCs w:val="24"/>
          <w:rtl/>
        </w:rPr>
        <w:t>כלי אנפוריא הם כלים שאין בהם סימן</w:t>
      </w:r>
      <w:r w:rsidRPr="003D14B1">
        <w:rPr>
          <w:rFonts w:cs="David" w:hint="cs"/>
          <w:sz w:val="24"/>
          <w:szCs w:val="24"/>
          <w:rtl/>
        </w:rPr>
        <w:t xml:space="preserve"> וה</w:t>
      </w:r>
      <w:r w:rsidR="00D90C29" w:rsidRPr="003D14B1">
        <w:rPr>
          <w:rFonts w:cs="David" w:hint="cs"/>
          <w:sz w:val="24"/>
          <w:szCs w:val="24"/>
          <w:rtl/>
        </w:rPr>
        <w:t xml:space="preserve">דין של כלי אנפוריא חל רק על צורבא מרבנן </w:t>
      </w:r>
      <w:r w:rsidR="00D90C29" w:rsidRPr="003D14B1">
        <w:rPr>
          <w:rFonts w:cs="David"/>
          <w:sz w:val="24"/>
          <w:szCs w:val="24"/>
          <w:rtl/>
        </w:rPr>
        <w:t>–</w:t>
      </w:r>
      <w:r w:rsidR="00D90C29" w:rsidRPr="003D14B1">
        <w:rPr>
          <w:rFonts w:cs="David" w:hint="cs"/>
          <w:sz w:val="24"/>
          <w:szCs w:val="24"/>
          <w:rtl/>
        </w:rPr>
        <w:t xml:space="preserve"> תלמידי חכמים, כדי להחזיר להם את אבדתם לא רק על-פי סימנים אלא גם על-פי טביעות העין</w:t>
      </w:r>
      <w:r w:rsidRPr="003D14B1">
        <w:rPr>
          <w:rFonts w:cs="David" w:hint="cs"/>
          <w:sz w:val="24"/>
          <w:szCs w:val="24"/>
          <w:rtl/>
        </w:rPr>
        <w:t>.</w:t>
      </w:r>
      <w:r w:rsidR="00D90C29" w:rsidRPr="003D14B1">
        <w:rPr>
          <w:rFonts w:cs="David" w:hint="cs"/>
          <w:sz w:val="24"/>
          <w:szCs w:val="24"/>
          <w:rtl/>
        </w:rPr>
        <w:t xml:space="preserve"> אנו מסתמכים על-כך שתלמידי חכמים תמיד דוברים אמת ואינם משנים את דבריהם, חוץ מ</w:t>
      </w:r>
      <w:r>
        <w:rPr>
          <w:rFonts w:cs="David" w:hint="cs"/>
          <w:sz w:val="24"/>
          <w:szCs w:val="24"/>
          <w:rtl/>
        </w:rPr>
        <w:t>ב</w:t>
      </w:r>
      <w:r w:rsidR="00D90C29" w:rsidRPr="003D14B1">
        <w:rPr>
          <w:rFonts w:cs="David" w:hint="cs"/>
          <w:sz w:val="24"/>
          <w:szCs w:val="24"/>
          <w:rtl/>
        </w:rPr>
        <w:t>שלושה דברים מאוד ספציפיים שהגמרא מפרטת</w:t>
      </w:r>
      <w:r w:rsidR="000C3A0C" w:rsidRPr="003D14B1">
        <w:rPr>
          <w:rFonts w:cs="David" w:hint="cs"/>
          <w:sz w:val="24"/>
          <w:szCs w:val="24"/>
          <w:rtl/>
        </w:rPr>
        <w:t xml:space="preserve"> (את הפירוש </w:t>
      </w:r>
      <w:r>
        <w:rPr>
          <w:rFonts w:cs="David" w:hint="cs"/>
          <w:sz w:val="24"/>
          <w:szCs w:val="24"/>
          <w:rtl/>
        </w:rPr>
        <w:t>נזקוף</w:t>
      </w:r>
      <w:r w:rsidR="000C3A0C" w:rsidRPr="003D14B1">
        <w:rPr>
          <w:rFonts w:cs="David" w:hint="cs"/>
          <w:sz w:val="24"/>
          <w:szCs w:val="24"/>
          <w:rtl/>
        </w:rPr>
        <w:t xml:space="preserve"> לזכותו של רש"י)</w:t>
      </w:r>
      <w:r w:rsidR="00D90C29" w:rsidRPr="003D14B1">
        <w:rPr>
          <w:rFonts w:cs="David" w:hint="cs"/>
          <w:sz w:val="24"/>
          <w:szCs w:val="24"/>
          <w:rtl/>
        </w:rPr>
        <w:t xml:space="preserve">: </w:t>
      </w:r>
    </w:p>
    <w:p w:rsidR="00D90C29" w:rsidRPr="003D14B1" w:rsidRDefault="00D90C29" w:rsidP="003D14B1">
      <w:pPr>
        <w:pStyle w:val="a3"/>
        <w:numPr>
          <w:ilvl w:val="0"/>
          <w:numId w:val="1"/>
        </w:numPr>
        <w:bidi/>
        <w:spacing w:line="360" w:lineRule="auto"/>
        <w:jc w:val="both"/>
        <w:rPr>
          <w:rFonts w:cs="David"/>
          <w:sz w:val="24"/>
          <w:szCs w:val="24"/>
        </w:rPr>
      </w:pPr>
      <w:r w:rsidRPr="003D14B1">
        <w:rPr>
          <w:rFonts w:cs="David" w:hint="cs"/>
          <w:sz w:val="24"/>
          <w:szCs w:val="24"/>
          <w:rtl/>
        </w:rPr>
        <w:t xml:space="preserve">במסכת </w:t>
      </w:r>
      <w:r w:rsidRPr="003D14B1">
        <w:rPr>
          <w:rFonts w:cs="David"/>
          <w:sz w:val="24"/>
          <w:szCs w:val="24"/>
          <w:rtl/>
        </w:rPr>
        <w:t>–</w:t>
      </w:r>
      <w:r w:rsidRPr="003D14B1">
        <w:rPr>
          <w:rFonts w:cs="David" w:hint="cs"/>
          <w:sz w:val="24"/>
          <w:szCs w:val="24"/>
          <w:rtl/>
        </w:rPr>
        <w:t xml:space="preserve"> על בקיאותו במסכת מסוימת, תלמיד החכמים י</w:t>
      </w:r>
      <w:r w:rsidR="00C714AF" w:rsidRPr="003D14B1">
        <w:rPr>
          <w:rFonts w:cs="David" w:hint="cs"/>
          <w:sz w:val="24"/>
          <w:szCs w:val="24"/>
          <w:rtl/>
        </w:rPr>
        <w:t>ענה</w:t>
      </w:r>
      <w:r w:rsidRPr="003D14B1">
        <w:rPr>
          <w:rFonts w:cs="David" w:hint="cs"/>
          <w:sz w:val="24"/>
          <w:szCs w:val="24"/>
          <w:rtl/>
        </w:rPr>
        <w:t xml:space="preserve"> </w:t>
      </w:r>
      <w:r w:rsidR="00C714AF" w:rsidRPr="003D14B1">
        <w:rPr>
          <w:rFonts w:cs="David" w:hint="cs"/>
          <w:sz w:val="24"/>
          <w:szCs w:val="24"/>
          <w:rtl/>
        </w:rPr>
        <w:t>שלא</w:t>
      </w:r>
      <w:r w:rsidRPr="003D14B1">
        <w:rPr>
          <w:rFonts w:cs="David" w:hint="cs"/>
          <w:sz w:val="24"/>
          <w:szCs w:val="24"/>
          <w:rtl/>
        </w:rPr>
        <w:t xml:space="preserve">, </w:t>
      </w:r>
      <w:r w:rsidR="003D14B1" w:rsidRPr="003D14B1">
        <w:rPr>
          <w:rFonts w:cs="David" w:hint="cs"/>
          <w:sz w:val="24"/>
          <w:szCs w:val="24"/>
          <w:rtl/>
        </w:rPr>
        <w:t>משום ענוו</w:t>
      </w:r>
      <w:r w:rsidR="00C714AF" w:rsidRPr="003D14B1">
        <w:rPr>
          <w:rFonts w:cs="David" w:hint="cs"/>
          <w:sz w:val="24"/>
          <w:szCs w:val="24"/>
          <w:rtl/>
        </w:rPr>
        <w:t>ת</w:t>
      </w:r>
      <w:r w:rsidR="003D14B1" w:rsidRPr="003D14B1">
        <w:rPr>
          <w:rFonts w:cs="David" w:hint="cs"/>
          <w:sz w:val="24"/>
          <w:szCs w:val="24"/>
          <w:rtl/>
        </w:rPr>
        <w:t>נ</w:t>
      </w:r>
      <w:r w:rsidR="00C714AF" w:rsidRPr="003D14B1">
        <w:rPr>
          <w:rFonts w:cs="David" w:hint="cs"/>
          <w:sz w:val="24"/>
          <w:szCs w:val="24"/>
          <w:rtl/>
        </w:rPr>
        <w:t>ו</w:t>
      </w:r>
      <w:r w:rsidR="003D14B1" w:rsidRPr="003D14B1">
        <w:rPr>
          <w:rFonts w:cs="David" w:hint="cs"/>
          <w:sz w:val="24"/>
          <w:szCs w:val="24"/>
          <w:rtl/>
        </w:rPr>
        <w:t>ת</w:t>
      </w:r>
      <w:r w:rsidR="00C714AF" w:rsidRPr="003D14B1">
        <w:rPr>
          <w:rFonts w:cs="David" w:hint="cs"/>
          <w:sz w:val="24"/>
          <w:szCs w:val="24"/>
          <w:rtl/>
        </w:rPr>
        <w:t>ו;</w:t>
      </w:r>
    </w:p>
    <w:p w:rsidR="00C714AF" w:rsidRPr="003D14B1" w:rsidRDefault="00C714AF" w:rsidP="003D14B1">
      <w:pPr>
        <w:pStyle w:val="a3"/>
        <w:numPr>
          <w:ilvl w:val="0"/>
          <w:numId w:val="1"/>
        </w:numPr>
        <w:bidi/>
        <w:spacing w:line="360" w:lineRule="auto"/>
        <w:jc w:val="both"/>
        <w:rPr>
          <w:rFonts w:cs="David"/>
          <w:sz w:val="24"/>
          <w:szCs w:val="24"/>
        </w:rPr>
      </w:pPr>
      <w:r w:rsidRPr="003D14B1">
        <w:rPr>
          <w:rFonts w:cs="David" w:hint="cs"/>
          <w:sz w:val="24"/>
          <w:szCs w:val="24"/>
          <w:rtl/>
        </w:rPr>
        <w:t xml:space="preserve">בפוריא </w:t>
      </w:r>
      <w:r w:rsidRPr="003D14B1">
        <w:rPr>
          <w:rFonts w:cs="David"/>
          <w:sz w:val="24"/>
          <w:szCs w:val="24"/>
          <w:rtl/>
        </w:rPr>
        <w:t>–</w:t>
      </w:r>
      <w:r w:rsidRPr="003D14B1">
        <w:rPr>
          <w:rFonts w:cs="David" w:hint="cs"/>
          <w:sz w:val="24"/>
          <w:szCs w:val="24"/>
          <w:rtl/>
        </w:rPr>
        <w:t xml:space="preserve"> האם הוא שימש את מיטתו, הוא יענה שלא, משום צניעות (גם אם נראה שכל אדם אחר שיש בו קצת יראת שמיים, אף-על-פי שהוא לא חכם גדול, גם הוא ישנה מן האמת);</w:t>
      </w:r>
    </w:p>
    <w:p w:rsidR="00C714AF" w:rsidRPr="003D14B1" w:rsidRDefault="00C714AF" w:rsidP="003D14B1">
      <w:pPr>
        <w:pStyle w:val="a3"/>
        <w:numPr>
          <w:ilvl w:val="0"/>
          <w:numId w:val="1"/>
        </w:numPr>
        <w:bidi/>
        <w:spacing w:line="360" w:lineRule="auto"/>
        <w:jc w:val="both"/>
        <w:rPr>
          <w:rFonts w:cs="David"/>
          <w:sz w:val="24"/>
          <w:szCs w:val="24"/>
        </w:rPr>
      </w:pPr>
      <w:r w:rsidRPr="003D14B1">
        <w:rPr>
          <w:rFonts w:cs="David" w:hint="cs"/>
          <w:sz w:val="24"/>
          <w:szCs w:val="24"/>
          <w:rtl/>
        </w:rPr>
        <w:t xml:space="preserve">ובאושפיזא </w:t>
      </w:r>
      <w:r w:rsidRPr="003D14B1">
        <w:rPr>
          <w:rFonts w:cs="David"/>
          <w:sz w:val="24"/>
          <w:szCs w:val="24"/>
          <w:rtl/>
        </w:rPr>
        <w:t>–</w:t>
      </w:r>
      <w:r w:rsidRPr="003D14B1">
        <w:rPr>
          <w:rFonts w:cs="David" w:hint="cs"/>
          <w:sz w:val="24"/>
          <w:szCs w:val="24"/>
          <w:rtl/>
        </w:rPr>
        <w:t xml:space="preserve"> על אירוחו במקום מסוים, האם אירחוהו בסבר פנים-יפות; גם כאן יחרוג מן האמת, כדי שלא ינצלו את ההזדמנות הטובה לאירוח, ויכלו את ממונו של בעל-הבית.</w:t>
      </w:r>
    </w:p>
    <w:p w:rsidR="000C3A0C" w:rsidRPr="003D14B1" w:rsidRDefault="000C3A0C" w:rsidP="003D14B1">
      <w:pPr>
        <w:pStyle w:val="a3"/>
        <w:bidi/>
        <w:spacing w:line="360" w:lineRule="auto"/>
        <w:ind w:left="4"/>
        <w:jc w:val="both"/>
        <w:rPr>
          <w:rFonts w:cs="David"/>
          <w:sz w:val="24"/>
          <w:szCs w:val="24"/>
          <w:rtl/>
        </w:rPr>
      </w:pPr>
      <w:r w:rsidRPr="003D14B1">
        <w:rPr>
          <w:rFonts w:cs="David" w:hint="cs"/>
          <w:sz w:val="24"/>
          <w:szCs w:val="24"/>
          <w:rtl/>
        </w:rPr>
        <w:t>שוב שואלת הגמרא: ומה יוצא מכך ל</w:t>
      </w:r>
      <w:r w:rsidR="003D14B1" w:rsidRPr="003D14B1">
        <w:rPr>
          <w:rFonts w:cs="David" w:hint="cs"/>
          <w:sz w:val="24"/>
          <w:szCs w:val="24"/>
          <w:rtl/>
        </w:rPr>
        <w:t>מעשה?</w:t>
      </w:r>
      <w:r w:rsidRPr="003D14B1">
        <w:rPr>
          <w:rFonts w:cs="David" w:hint="cs"/>
          <w:sz w:val="24"/>
          <w:szCs w:val="24"/>
          <w:rtl/>
        </w:rPr>
        <w:t xml:space="preserve"> ועונה מר זוטרא: כדי להחזיר לתלמידי חכ</w:t>
      </w:r>
      <w:r w:rsidR="00DB2C78" w:rsidRPr="003D14B1">
        <w:rPr>
          <w:rFonts w:cs="David" w:hint="cs"/>
          <w:sz w:val="24"/>
          <w:szCs w:val="24"/>
          <w:rtl/>
        </w:rPr>
        <w:t xml:space="preserve">מים את אבדתם על-פי טביעות עינם, </w:t>
      </w:r>
      <w:r w:rsidR="003D14B1" w:rsidRPr="003D14B1">
        <w:rPr>
          <w:rFonts w:cs="David" w:hint="cs"/>
          <w:sz w:val="24"/>
          <w:szCs w:val="24"/>
          <w:rtl/>
        </w:rPr>
        <w:t>אם משנים את דבריהם רק ב</w:t>
      </w:r>
      <w:r w:rsidR="00DB2C78" w:rsidRPr="003D14B1">
        <w:rPr>
          <w:rFonts w:cs="David" w:hint="cs"/>
          <w:sz w:val="24"/>
          <w:szCs w:val="24"/>
          <w:rtl/>
        </w:rPr>
        <w:t>שלוש</w:t>
      </w:r>
      <w:r w:rsidR="003D14B1" w:rsidRPr="003D14B1">
        <w:rPr>
          <w:rFonts w:cs="David" w:hint="cs"/>
          <w:sz w:val="24"/>
          <w:szCs w:val="24"/>
          <w:rtl/>
        </w:rPr>
        <w:t>ת דברים</w:t>
      </w:r>
      <w:r w:rsidR="00DB2C78" w:rsidRPr="003D14B1">
        <w:rPr>
          <w:rFonts w:cs="David" w:hint="cs"/>
          <w:sz w:val="24"/>
          <w:szCs w:val="24"/>
          <w:rtl/>
        </w:rPr>
        <w:t xml:space="preserve"> אלו </w:t>
      </w:r>
      <w:r w:rsidR="003D14B1" w:rsidRPr="003D14B1">
        <w:rPr>
          <w:rFonts w:cs="David"/>
          <w:sz w:val="24"/>
          <w:szCs w:val="24"/>
          <w:rtl/>
        </w:rPr>
        <w:t>–</w:t>
      </w:r>
      <w:r w:rsidR="003D14B1" w:rsidRPr="003D14B1">
        <w:rPr>
          <w:rFonts w:cs="David" w:hint="cs"/>
          <w:sz w:val="24"/>
          <w:szCs w:val="24"/>
          <w:rtl/>
        </w:rPr>
        <w:t xml:space="preserve"> יחזירו להם על פי טביעת עין ואם הם משנים ביותר </w:t>
      </w:r>
      <w:r w:rsidR="003D14B1" w:rsidRPr="003D14B1">
        <w:rPr>
          <w:rFonts w:cs="David"/>
          <w:sz w:val="24"/>
          <w:szCs w:val="24"/>
          <w:rtl/>
        </w:rPr>
        <w:t>–</w:t>
      </w:r>
      <w:r w:rsidR="003D14B1" w:rsidRPr="003D14B1">
        <w:rPr>
          <w:rFonts w:cs="David" w:hint="cs"/>
          <w:sz w:val="24"/>
          <w:szCs w:val="24"/>
          <w:rtl/>
        </w:rPr>
        <w:t xml:space="preserve"> לא יחזירו להם.</w:t>
      </w:r>
    </w:p>
    <w:p w:rsidR="006D55D1" w:rsidRPr="003D14B1" w:rsidRDefault="00DB2C78" w:rsidP="003D14B1">
      <w:pPr>
        <w:pStyle w:val="a3"/>
        <w:bidi/>
        <w:spacing w:line="360" w:lineRule="auto"/>
        <w:ind w:left="4"/>
        <w:jc w:val="both"/>
        <w:rPr>
          <w:rFonts w:cs="David"/>
          <w:sz w:val="24"/>
          <w:szCs w:val="24"/>
          <w:rtl/>
        </w:rPr>
      </w:pPr>
      <w:r w:rsidRPr="003D14B1">
        <w:rPr>
          <w:rFonts w:cs="David" w:hint="cs"/>
          <w:sz w:val="24"/>
          <w:szCs w:val="24"/>
          <w:rtl/>
        </w:rPr>
        <w:t>הגמרא מביאה בתור הוכחה לדין זה סיפור:</w:t>
      </w:r>
      <w:r w:rsidR="003D14B1" w:rsidRPr="003D14B1">
        <w:rPr>
          <w:rFonts w:cs="David" w:hint="cs"/>
          <w:sz w:val="24"/>
          <w:szCs w:val="24"/>
          <w:rtl/>
        </w:rPr>
        <w:t xml:space="preserve"> </w:t>
      </w:r>
      <w:r w:rsidRPr="003D14B1">
        <w:rPr>
          <w:rFonts w:cs="David" w:hint="cs"/>
          <w:sz w:val="24"/>
          <w:szCs w:val="24"/>
          <w:rtl/>
        </w:rPr>
        <w:t xml:space="preserve">מר זוטרא חסידא </w:t>
      </w:r>
      <w:r w:rsidR="003D14B1" w:rsidRPr="003D14B1">
        <w:rPr>
          <w:rFonts w:cs="David" w:hint="cs"/>
          <w:sz w:val="24"/>
          <w:szCs w:val="24"/>
          <w:rtl/>
        </w:rPr>
        <w:t>התארח במקום כלשהו ו</w:t>
      </w:r>
      <w:r w:rsidRPr="003D14B1">
        <w:rPr>
          <w:rFonts w:cs="David" w:hint="cs"/>
          <w:sz w:val="24"/>
          <w:szCs w:val="24"/>
          <w:rtl/>
        </w:rPr>
        <w:t>נגנב</w:t>
      </w:r>
      <w:r w:rsidR="003D14B1" w:rsidRPr="003D14B1">
        <w:rPr>
          <w:rFonts w:cs="David" w:hint="cs"/>
          <w:sz w:val="24"/>
          <w:szCs w:val="24"/>
          <w:rtl/>
        </w:rPr>
        <w:t xml:space="preserve">ה בו </w:t>
      </w:r>
      <w:r w:rsidRPr="003D14B1">
        <w:rPr>
          <w:rFonts w:cs="David" w:hint="cs"/>
          <w:sz w:val="24"/>
          <w:szCs w:val="24"/>
          <w:rtl/>
        </w:rPr>
        <w:t>כוס</w:t>
      </w:r>
      <w:r w:rsidR="003D14B1" w:rsidRPr="003D14B1">
        <w:rPr>
          <w:rFonts w:cs="David" w:hint="cs"/>
          <w:sz w:val="24"/>
          <w:szCs w:val="24"/>
          <w:rtl/>
        </w:rPr>
        <w:t xml:space="preserve"> של </w:t>
      </w:r>
      <w:r w:rsidRPr="003D14B1">
        <w:rPr>
          <w:rFonts w:cs="David" w:hint="cs"/>
          <w:sz w:val="24"/>
          <w:szCs w:val="24"/>
          <w:rtl/>
        </w:rPr>
        <w:t>כסף</w:t>
      </w:r>
      <w:r w:rsidR="003D14B1" w:rsidRPr="003D14B1">
        <w:rPr>
          <w:rFonts w:cs="David" w:hint="cs"/>
          <w:sz w:val="24"/>
          <w:szCs w:val="24"/>
          <w:rtl/>
        </w:rPr>
        <w:t xml:space="preserve">. </w:t>
      </w:r>
      <w:r w:rsidR="006D55D1" w:rsidRPr="003D14B1">
        <w:rPr>
          <w:rFonts w:cs="David" w:hint="cs"/>
          <w:sz w:val="24"/>
          <w:szCs w:val="24"/>
          <w:rtl/>
        </w:rPr>
        <w:t xml:space="preserve">מר זוטרא </w:t>
      </w:r>
      <w:r w:rsidR="003D14B1" w:rsidRPr="003D14B1">
        <w:rPr>
          <w:rFonts w:cs="David" w:hint="cs"/>
          <w:sz w:val="24"/>
          <w:szCs w:val="24"/>
          <w:rtl/>
        </w:rPr>
        <w:t xml:space="preserve">הבחין </w:t>
      </w:r>
      <w:r w:rsidR="006D55D1" w:rsidRPr="003D14B1">
        <w:rPr>
          <w:rFonts w:cs="David" w:hint="cs"/>
          <w:sz w:val="24"/>
          <w:szCs w:val="24"/>
          <w:rtl/>
        </w:rPr>
        <w:t xml:space="preserve">כי עוד איש אחד שהתארח באותו המקום, </w:t>
      </w:r>
      <w:r w:rsidR="003D14B1" w:rsidRPr="003D14B1">
        <w:rPr>
          <w:rFonts w:cs="David" w:hint="cs"/>
          <w:sz w:val="24"/>
          <w:szCs w:val="24"/>
          <w:rtl/>
        </w:rPr>
        <w:t>שוטף ידיו ומנגב אותם בבגדי חברו.</w:t>
      </w:r>
      <w:r w:rsidR="006D55D1" w:rsidRPr="003D14B1">
        <w:rPr>
          <w:rFonts w:cs="David" w:hint="cs"/>
          <w:sz w:val="24"/>
          <w:szCs w:val="24"/>
          <w:rtl/>
        </w:rPr>
        <w:t xml:space="preserve"> אמר לעצמו </w:t>
      </w:r>
      <w:r w:rsidR="006D55D1" w:rsidRPr="003D14B1">
        <w:rPr>
          <w:rFonts w:cs="David"/>
          <w:sz w:val="24"/>
          <w:szCs w:val="24"/>
          <w:rtl/>
        </w:rPr>
        <w:t>–</w:t>
      </w:r>
      <w:r w:rsidR="006D55D1" w:rsidRPr="003D14B1">
        <w:rPr>
          <w:rFonts w:cs="David" w:hint="cs"/>
          <w:sz w:val="24"/>
          <w:szCs w:val="24"/>
          <w:rtl/>
        </w:rPr>
        <w:t xml:space="preserve"> למי שלא אכפת מרכושו של חברו </w:t>
      </w:r>
      <w:r w:rsidR="00886157" w:rsidRPr="003D14B1">
        <w:rPr>
          <w:rFonts w:cs="David"/>
          <w:sz w:val="24"/>
          <w:szCs w:val="24"/>
          <w:rtl/>
        </w:rPr>
        <w:t>–</w:t>
      </w:r>
      <w:r w:rsidR="006D55D1" w:rsidRPr="003D14B1">
        <w:rPr>
          <w:rFonts w:cs="David" w:hint="cs"/>
          <w:sz w:val="24"/>
          <w:szCs w:val="24"/>
          <w:rtl/>
        </w:rPr>
        <w:t xml:space="preserve"> </w:t>
      </w:r>
      <w:r w:rsidR="00886157" w:rsidRPr="003D14B1">
        <w:rPr>
          <w:rFonts w:cs="David" w:hint="cs"/>
          <w:sz w:val="24"/>
          <w:szCs w:val="24"/>
          <w:rtl/>
        </w:rPr>
        <w:t xml:space="preserve">כנראה שהוא סוג האדם </w:t>
      </w:r>
      <w:r w:rsidR="003D14B1" w:rsidRPr="003D14B1">
        <w:rPr>
          <w:rFonts w:cs="David" w:hint="cs"/>
          <w:sz w:val="24"/>
          <w:szCs w:val="24"/>
          <w:rtl/>
        </w:rPr>
        <w:t>שגם יגנוב מחברו.</w:t>
      </w:r>
      <w:r w:rsidR="00545BF0" w:rsidRPr="003D14B1">
        <w:rPr>
          <w:rFonts w:cs="David" w:hint="cs"/>
          <w:sz w:val="24"/>
          <w:szCs w:val="24"/>
          <w:rtl/>
        </w:rPr>
        <w:t xml:space="preserve"> </w:t>
      </w:r>
      <w:r w:rsidR="003D14B1" w:rsidRPr="003D14B1">
        <w:rPr>
          <w:rFonts w:cs="David" w:hint="cs"/>
          <w:sz w:val="24"/>
          <w:szCs w:val="24"/>
          <w:rtl/>
        </w:rPr>
        <w:t>מר זוטרא כפת את המנגב</w:t>
      </w:r>
      <w:r w:rsidR="00545BF0" w:rsidRPr="003D14B1">
        <w:rPr>
          <w:rFonts w:cs="David" w:hint="cs"/>
          <w:sz w:val="24"/>
          <w:szCs w:val="24"/>
          <w:rtl/>
        </w:rPr>
        <w:t xml:space="preserve"> עד שהבחור הלזה הודה בגנבתו.</w:t>
      </w:r>
    </w:p>
    <w:p w:rsidR="00545BF0" w:rsidRPr="003D14B1" w:rsidRDefault="00545BF0" w:rsidP="003D14B1">
      <w:pPr>
        <w:pStyle w:val="a3"/>
        <w:bidi/>
        <w:spacing w:line="360" w:lineRule="auto"/>
        <w:ind w:left="4"/>
        <w:jc w:val="both"/>
        <w:rPr>
          <w:rFonts w:cs="David"/>
          <w:sz w:val="24"/>
          <w:szCs w:val="24"/>
          <w:rtl/>
        </w:rPr>
      </w:pPr>
      <w:r w:rsidRPr="003D14B1">
        <w:rPr>
          <w:rFonts w:cs="David" w:hint="cs"/>
          <w:sz w:val="24"/>
          <w:szCs w:val="24"/>
          <w:rtl/>
        </w:rPr>
        <w:t>בהמשך מופיעה ברייתא שבה מודה רשב"ע כי בכלים חדשים ש</w:t>
      </w:r>
      <w:r w:rsidRPr="003D14B1">
        <w:rPr>
          <w:rFonts w:cs="David" w:hint="cs"/>
          <w:b/>
          <w:bCs/>
          <w:sz w:val="24"/>
          <w:szCs w:val="24"/>
          <w:rtl/>
        </w:rPr>
        <w:t>כן</w:t>
      </w:r>
      <w:r w:rsidR="00156190">
        <w:rPr>
          <w:rFonts w:cs="David" w:hint="cs"/>
          <w:b/>
          <w:bCs/>
          <w:sz w:val="24"/>
          <w:szCs w:val="24"/>
          <w:rtl/>
        </w:rPr>
        <w:t xml:space="preserve"> </w:t>
      </w:r>
      <w:r w:rsidRPr="003D14B1">
        <w:rPr>
          <w:rFonts w:cs="David" w:hint="cs"/>
          <w:sz w:val="24"/>
          <w:szCs w:val="24"/>
          <w:rtl/>
        </w:rPr>
        <w:t xml:space="preserve">שבעתן העין </w:t>
      </w:r>
      <w:r w:rsidRPr="003D14B1">
        <w:rPr>
          <w:rFonts w:cs="David"/>
          <w:sz w:val="24"/>
          <w:szCs w:val="24"/>
          <w:rtl/>
        </w:rPr>
        <w:t>–</w:t>
      </w:r>
      <w:r w:rsidRPr="003D14B1">
        <w:rPr>
          <w:rFonts w:cs="David" w:hint="cs"/>
          <w:sz w:val="24"/>
          <w:szCs w:val="24"/>
          <w:rtl/>
        </w:rPr>
        <w:t xml:space="preserve"> הדין הוא חייב להכריז, ובהמשך יש רשימה מפורטת של כלים חדשים ש</w:t>
      </w:r>
      <w:r w:rsidRPr="003D14B1">
        <w:rPr>
          <w:rFonts w:cs="David" w:hint="cs"/>
          <w:b/>
          <w:bCs/>
          <w:sz w:val="24"/>
          <w:szCs w:val="24"/>
          <w:rtl/>
        </w:rPr>
        <w:t>לא</w:t>
      </w:r>
      <w:r w:rsidR="00621917" w:rsidRPr="003D14B1">
        <w:rPr>
          <w:rFonts w:cs="David" w:hint="cs"/>
          <w:sz w:val="24"/>
          <w:szCs w:val="24"/>
          <w:rtl/>
        </w:rPr>
        <w:t xml:space="preserve"> שבעתן העין, ש</w:t>
      </w:r>
      <w:r w:rsidRPr="003D14B1">
        <w:rPr>
          <w:rFonts w:cs="David" w:hint="cs"/>
          <w:sz w:val="24"/>
          <w:szCs w:val="24"/>
          <w:rtl/>
        </w:rPr>
        <w:t xml:space="preserve">הדין </w:t>
      </w:r>
      <w:r w:rsidR="00621917" w:rsidRPr="003D14B1">
        <w:rPr>
          <w:rFonts w:cs="David" w:hint="cs"/>
          <w:sz w:val="24"/>
          <w:szCs w:val="24"/>
          <w:rtl/>
        </w:rPr>
        <w:t xml:space="preserve">בהם </w:t>
      </w:r>
      <w:r w:rsidRPr="003D14B1">
        <w:rPr>
          <w:rFonts w:cs="David" w:hint="cs"/>
          <w:sz w:val="24"/>
          <w:szCs w:val="24"/>
          <w:rtl/>
        </w:rPr>
        <w:t>הוא</w:t>
      </w:r>
      <w:r w:rsidR="00621917" w:rsidRPr="003D14B1">
        <w:rPr>
          <w:rFonts w:cs="David" w:hint="cs"/>
          <w:sz w:val="24"/>
          <w:szCs w:val="24"/>
          <w:rtl/>
        </w:rPr>
        <w:t xml:space="preserve"> אינו חייב להכריז, ואלו הם</w:t>
      </w:r>
      <w:r w:rsidR="00AD03B6" w:rsidRPr="003D14B1">
        <w:rPr>
          <w:rFonts w:cs="David" w:hint="cs"/>
          <w:sz w:val="24"/>
          <w:szCs w:val="24"/>
          <w:rtl/>
        </w:rPr>
        <w:t xml:space="preserve"> בלשון הגמרא</w:t>
      </w:r>
      <w:r w:rsidR="00621917" w:rsidRPr="003D14B1">
        <w:rPr>
          <w:rFonts w:cs="David" w:hint="cs"/>
          <w:sz w:val="24"/>
          <w:szCs w:val="24"/>
          <w:rtl/>
        </w:rPr>
        <w:t>:</w:t>
      </w:r>
      <w:r w:rsidR="00AD03B6" w:rsidRPr="003D14B1">
        <w:rPr>
          <w:rFonts w:cs="David" w:hint="cs"/>
          <w:sz w:val="24"/>
          <w:szCs w:val="24"/>
          <w:rtl/>
        </w:rPr>
        <w:t xml:space="preserve"> </w:t>
      </w:r>
    </w:p>
    <w:p w:rsidR="00AD03B6" w:rsidRPr="003D14B1" w:rsidRDefault="00AD03B6" w:rsidP="00156190">
      <w:pPr>
        <w:pStyle w:val="a3"/>
        <w:bidi/>
        <w:spacing w:line="360" w:lineRule="auto"/>
        <w:ind w:left="4"/>
        <w:jc w:val="both"/>
        <w:rPr>
          <w:rFonts w:cs="David"/>
          <w:sz w:val="24"/>
          <w:szCs w:val="24"/>
          <w:rtl/>
        </w:rPr>
      </w:pPr>
      <w:r w:rsidRPr="003D14B1">
        <w:rPr>
          <w:rFonts w:cs="David" w:hint="cs"/>
          <w:sz w:val="24"/>
          <w:szCs w:val="24"/>
          <w:rtl/>
        </w:rPr>
        <w:t xml:space="preserve">בדי (תיזכרו את המילה הזאת </w:t>
      </w:r>
      <w:r w:rsidRPr="003D14B1">
        <w:rPr>
          <w:rFonts w:cs="David"/>
          <w:sz w:val="24"/>
          <w:szCs w:val="24"/>
          <w:rtl/>
        </w:rPr>
        <w:t>–</w:t>
      </w:r>
      <w:r w:rsidRPr="003D14B1">
        <w:rPr>
          <w:rFonts w:cs="David" w:hint="cs"/>
          <w:sz w:val="24"/>
          <w:szCs w:val="24"/>
          <w:rtl/>
        </w:rPr>
        <w:t xml:space="preserve"> יהיה עליה דיון קצר בהמשך) מחטין, צינוריות</w:t>
      </w:r>
      <w:r w:rsidR="004C24D7" w:rsidRPr="003D14B1">
        <w:rPr>
          <w:rFonts w:cs="David" w:hint="cs"/>
          <w:sz w:val="24"/>
          <w:szCs w:val="24"/>
          <w:rtl/>
        </w:rPr>
        <w:t xml:space="preserve"> ומחרוזות של קרדומות</w:t>
      </w:r>
      <w:r w:rsidR="00156190">
        <w:rPr>
          <w:rFonts w:cs="David" w:hint="cs"/>
          <w:sz w:val="24"/>
          <w:szCs w:val="24"/>
          <w:rtl/>
        </w:rPr>
        <w:t xml:space="preserve">. </w:t>
      </w:r>
      <w:r w:rsidR="004C24D7" w:rsidRPr="003D14B1">
        <w:rPr>
          <w:rFonts w:cs="David" w:hint="cs"/>
          <w:sz w:val="24"/>
          <w:szCs w:val="24"/>
          <w:rtl/>
        </w:rPr>
        <w:t xml:space="preserve"> ה</w:t>
      </w:r>
      <w:r w:rsidR="00156190">
        <w:rPr>
          <w:rFonts w:cs="David" w:hint="cs"/>
          <w:sz w:val="24"/>
          <w:szCs w:val="24"/>
          <w:rtl/>
        </w:rPr>
        <w:t>ב</w:t>
      </w:r>
      <w:r w:rsidR="004C24D7" w:rsidRPr="003D14B1">
        <w:rPr>
          <w:rFonts w:cs="David" w:hint="cs"/>
          <w:sz w:val="24"/>
          <w:szCs w:val="24"/>
          <w:rtl/>
        </w:rPr>
        <w:t>ר</w:t>
      </w:r>
      <w:r w:rsidR="00156190">
        <w:rPr>
          <w:rFonts w:cs="David" w:hint="cs"/>
          <w:sz w:val="24"/>
          <w:szCs w:val="24"/>
          <w:rtl/>
        </w:rPr>
        <w:t>יית</w:t>
      </w:r>
      <w:r w:rsidR="004C24D7" w:rsidRPr="003D14B1">
        <w:rPr>
          <w:rFonts w:cs="David" w:hint="cs"/>
          <w:sz w:val="24"/>
          <w:szCs w:val="24"/>
          <w:rtl/>
        </w:rPr>
        <w:t xml:space="preserve">א מוסיפה כאן סייג </w:t>
      </w:r>
      <w:r w:rsidR="004C24D7" w:rsidRPr="003D14B1">
        <w:rPr>
          <w:rFonts w:cs="David"/>
          <w:sz w:val="24"/>
          <w:szCs w:val="24"/>
          <w:rtl/>
        </w:rPr>
        <w:t>–</w:t>
      </w:r>
      <w:r w:rsidR="004C24D7" w:rsidRPr="003D14B1">
        <w:rPr>
          <w:rFonts w:cs="David" w:hint="cs"/>
          <w:sz w:val="24"/>
          <w:szCs w:val="24"/>
          <w:rtl/>
        </w:rPr>
        <w:t xml:space="preserve"> גבול, גדר ושמירה </w:t>
      </w:r>
      <w:r w:rsidR="004C24D7" w:rsidRPr="003D14B1">
        <w:rPr>
          <w:rFonts w:cs="David"/>
          <w:sz w:val="24"/>
          <w:szCs w:val="24"/>
          <w:rtl/>
        </w:rPr>
        <w:t>–</w:t>
      </w:r>
      <w:r w:rsidR="004C24D7" w:rsidRPr="003D14B1">
        <w:rPr>
          <w:rFonts w:cs="David" w:hint="cs"/>
          <w:sz w:val="24"/>
          <w:szCs w:val="24"/>
          <w:rtl/>
        </w:rPr>
        <w:t xml:space="preserve"> על מה שדיברנו כאן</w:t>
      </w:r>
      <w:r w:rsidR="00156190">
        <w:rPr>
          <w:rFonts w:cs="David" w:hint="cs"/>
          <w:sz w:val="24"/>
          <w:szCs w:val="24"/>
          <w:rtl/>
        </w:rPr>
        <w:t>:</w:t>
      </w:r>
      <w:r w:rsidR="004C24D7" w:rsidRPr="003D14B1">
        <w:rPr>
          <w:rFonts w:cs="David" w:hint="cs"/>
          <w:sz w:val="24"/>
          <w:szCs w:val="24"/>
          <w:rtl/>
        </w:rPr>
        <w:t xml:space="preserve"> הדין הוא כפי שאמרנו במקרה שמצא את האבדה המדוברת</w:t>
      </w:r>
      <w:r w:rsidR="007D1DFA" w:rsidRPr="003D14B1">
        <w:rPr>
          <w:rFonts w:cs="David" w:hint="cs"/>
          <w:sz w:val="24"/>
          <w:szCs w:val="24"/>
          <w:rtl/>
        </w:rPr>
        <w:t xml:space="preserve"> אחד-אחד או אחת-אחת, אבל אם מצא שניים-שניים </w:t>
      </w:r>
      <w:r w:rsidR="007D1DFA" w:rsidRPr="003D14B1">
        <w:rPr>
          <w:rFonts w:cs="David"/>
          <w:sz w:val="24"/>
          <w:szCs w:val="24"/>
          <w:rtl/>
        </w:rPr>
        <w:t>–</w:t>
      </w:r>
      <w:r w:rsidR="007D1DFA" w:rsidRPr="003D14B1">
        <w:rPr>
          <w:rFonts w:cs="David" w:hint="cs"/>
          <w:sz w:val="24"/>
          <w:szCs w:val="24"/>
          <w:rtl/>
        </w:rPr>
        <w:t xml:space="preserve"> חייב להכריז (מפני שמניין נחשב סימן, וכשיש סימן, כמו שאמרנו </w:t>
      </w:r>
      <w:r w:rsidR="007D1DFA" w:rsidRPr="003D14B1">
        <w:rPr>
          <w:rFonts w:cs="David"/>
          <w:sz w:val="24"/>
          <w:szCs w:val="24"/>
          <w:rtl/>
        </w:rPr>
        <w:t>–</w:t>
      </w:r>
      <w:r w:rsidR="007D1DFA" w:rsidRPr="003D14B1">
        <w:rPr>
          <w:rFonts w:cs="David" w:hint="cs"/>
          <w:sz w:val="24"/>
          <w:szCs w:val="24"/>
          <w:rtl/>
        </w:rPr>
        <w:t xml:space="preserve"> חייב להכריז).</w:t>
      </w:r>
    </w:p>
    <w:p w:rsidR="00E750D2" w:rsidRDefault="007D1DFA" w:rsidP="00156190">
      <w:pPr>
        <w:pStyle w:val="a3"/>
        <w:bidi/>
        <w:spacing w:line="360" w:lineRule="auto"/>
        <w:ind w:left="4"/>
        <w:jc w:val="both"/>
        <w:rPr>
          <w:rFonts w:cs="David" w:hint="cs"/>
          <w:sz w:val="24"/>
          <w:szCs w:val="24"/>
          <w:rtl/>
        </w:rPr>
      </w:pPr>
      <w:r w:rsidRPr="003D14B1">
        <w:rPr>
          <w:rFonts w:cs="David" w:hint="cs"/>
          <w:sz w:val="24"/>
          <w:szCs w:val="24"/>
          <w:rtl/>
        </w:rPr>
        <w:t xml:space="preserve">הגמרא דורשת ביאור מילה שהוזכרה לפני-כן </w:t>
      </w:r>
      <w:r w:rsidRPr="003D14B1">
        <w:rPr>
          <w:rFonts w:cs="David"/>
          <w:sz w:val="24"/>
          <w:szCs w:val="24"/>
          <w:rtl/>
        </w:rPr>
        <w:t>–</w:t>
      </w:r>
      <w:r w:rsidRPr="003D14B1">
        <w:rPr>
          <w:rFonts w:cs="David" w:hint="cs"/>
          <w:sz w:val="24"/>
          <w:szCs w:val="24"/>
          <w:rtl/>
        </w:rPr>
        <w:t xml:space="preserve"> </w:t>
      </w:r>
      <w:r w:rsidRPr="003D14B1">
        <w:rPr>
          <w:rFonts w:cs="David" w:hint="cs"/>
          <w:b/>
          <w:bCs/>
          <w:sz w:val="24"/>
          <w:szCs w:val="24"/>
          <w:rtl/>
        </w:rPr>
        <w:t>מאי בדי</w:t>
      </w:r>
      <w:r w:rsidRPr="003D14B1">
        <w:rPr>
          <w:rFonts w:cs="David" w:hint="cs"/>
          <w:sz w:val="24"/>
          <w:szCs w:val="24"/>
          <w:rtl/>
        </w:rPr>
        <w:t xml:space="preserve"> (זוכרים את-זה, מבדי-מחטין)</w:t>
      </w:r>
      <w:r w:rsidRPr="003D14B1">
        <w:rPr>
          <w:rFonts w:cs="David" w:hint="cs"/>
          <w:b/>
          <w:bCs/>
          <w:sz w:val="24"/>
          <w:szCs w:val="24"/>
          <w:rtl/>
        </w:rPr>
        <w:t xml:space="preserve">? שוכי! </w:t>
      </w:r>
      <w:r w:rsidRPr="003D14B1">
        <w:rPr>
          <w:rFonts w:cs="David" w:hint="cs"/>
          <w:sz w:val="24"/>
          <w:szCs w:val="24"/>
          <w:rtl/>
        </w:rPr>
        <w:t>רש"י מפרש: ענפים של אילן. הגמרא רוצה הרחבה: ומהו בד? דבר שתולים עליו ד</w:t>
      </w:r>
      <w:r w:rsidR="00E750D2" w:rsidRPr="003D14B1">
        <w:rPr>
          <w:rFonts w:cs="David" w:hint="cs"/>
          <w:sz w:val="24"/>
          <w:szCs w:val="24"/>
          <w:rtl/>
        </w:rPr>
        <w:t>ברים.</w:t>
      </w:r>
      <w:r w:rsidR="00156190">
        <w:rPr>
          <w:rFonts w:cs="David" w:hint="cs"/>
          <w:sz w:val="24"/>
          <w:szCs w:val="24"/>
          <w:rtl/>
        </w:rPr>
        <w:t xml:space="preserve"> </w:t>
      </w:r>
      <w:r w:rsidR="00E750D2" w:rsidRPr="003D14B1">
        <w:rPr>
          <w:rFonts w:cs="David" w:hint="cs"/>
          <w:sz w:val="24"/>
          <w:szCs w:val="24"/>
          <w:rtl/>
        </w:rPr>
        <w:t xml:space="preserve">ולמה דווקא לקרוא לכך בד? כפי ששנו במסכת סוכה: עלה אחד בבד אחד; שוב אני נעזר ברש"י: שאלו מה הדין לגבי ערבה שנשרו עליה ונותרו רק שלושה? והגמרא בסוכה עונה שאפילו רק </w:t>
      </w:r>
      <w:r w:rsidR="00E750D2" w:rsidRPr="003D14B1">
        <w:rPr>
          <w:rFonts w:cs="David" w:hint="cs"/>
          <w:b/>
          <w:bCs/>
          <w:sz w:val="24"/>
          <w:szCs w:val="24"/>
          <w:rtl/>
        </w:rPr>
        <w:t>עלה אחד בבד אחד</w:t>
      </w:r>
      <w:r w:rsidR="00E750D2" w:rsidRPr="003D14B1">
        <w:rPr>
          <w:rFonts w:cs="David" w:hint="cs"/>
          <w:sz w:val="24"/>
          <w:szCs w:val="24"/>
          <w:rtl/>
        </w:rPr>
        <w:t xml:space="preserve"> </w:t>
      </w:r>
      <w:r w:rsidR="00E750D2" w:rsidRPr="003D14B1">
        <w:rPr>
          <w:rFonts w:cs="David"/>
          <w:sz w:val="24"/>
          <w:szCs w:val="24"/>
          <w:rtl/>
        </w:rPr>
        <w:t>–</w:t>
      </w:r>
      <w:r w:rsidR="00E750D2" w:rsidRPr="003D14B1">
        <w:rPr>
          <w:rFonts w:cs="David" w:hint="cs"/>
          <w:sz w:val="24"/>
          <w:szCs w:val="24"/>
          <w:rtl/>
        </w:rPr>
        <w:t xml:space="preserve"> בענף ערבה אחד </w:t>
      </w:r>
      <w:r w:rsidR="00E750D2" w:rsidRPr="003D14B1">
        <w:rPr>
          <w:rFonts w:cs="David"/>
          <w:sz w:val="24"/>
          <w:szCs w:val="24"/>
          <w:rtl/>
        </w:rPr>
        <w:t>–</w:t>
      </w:r>
      <w:r w:rsidR="00E750D2" w:rsidRPr="003D14B1">
        <w:rPr>
          <w:rFonts w:cs="David" w:hint="cs"/>
          <w:sz w:val="24"/>
          <w:szCs w:val="24"/>
          <w:rtl/>
        </w:rPr>
        <w:t xml:space="preserve"> הערבה כשרה.</w:t>
      </w:r>
    </w:p>
    <w:p w:rsidR="00156190" w:rsidRDefault="00156190" w:rsidP="00156190">
      <w:pPr>
        <w:pStyle w:val="a3"/>
        <w:bidi/>
        <w:spacing w:line="360" w:lineRule="auto"/>
        <w:ind w:left="4"/>
        <w:jc w:val="both"/>
        <w:rPr>
          <w:rFonts w:cs="David" w:hint="cs"/>
          <w:sz w:val="24"/>
          <w:szCs w:val="24"/>
          <w:rtl/>
        </w:rPr>
      </w:pPr>
      <w:r>
        <w:rPr>
          <w:rFonts w:cs="David" w:hint="cs"/>
          <w:sz w:val="24"/>
          <w:szCs w:val="24"/>
          <w:rtl/>
        </w:rPr>
        <w:lastRenderedPageBreak/>
        <w:t xml:space="preserve">החידוש הגדול שיש בסוגיה הוא שעד כה היינו רגילים למשוואה פשוטה (שאף מופיעה בתחילת הסוגיה): יש סימן </w:t>
      </w:r>
      <w:r>
        <w:rPr>
          <w:rFonts w:cs="David"/>
          <w:sz w:val="24"/>
          <w:szCs w:val="24"/>
          <w:rtl/>
        </w:rPr>
        <w:t>–</w:t>
      </w:r>
      <w:r>
        <w:rPr>
          <w:rFonts w:cs="David" w:hint="cs"/>
          <w:sz w:val="24"/>
          <w:szCs w:val="24"/>
          <w:rtl/>
        </w:rPr>
        <w:t xml:space="preserve"> מכריז, אין סימן </w:t>
      </w:r>
      <w:r>
        <w:rPr>
          <w:rFonts w:cs="David"/>
          <w:sz w:val="24"/>
          <w:szCs w:val="24"/>
          <w:rtl/>
        </w:rPr>
        <w:t>–</w:t>
      </w:r>
      <w:r>
        <w:rPr>
          <w:rFonts w:cs="David" w:hint="cs"/>
          <w:sz w:val="24"/>
          <w:szCs w:val="24"/>
          <w:rtl/>
        </w:rPr>
        <w:t xml:space="preserve"> לוקח. בעקבות דברי ר' שמעון בן אלעזר, הגמרא מראה שיש מקרים מסוימים שבהם האבדה תחזור על פי טביעת עין, אפילו אם אין בה סימן. כמובן, רק תלמידי חכמים רשאים לקבל אבדה על פי טביעת עין משתי סיבות: א. הם דוברים אמת (חוץ מבשלושה מקרים); ב. כי יש להם היכולת להבחין מתוך המציאות, גם אם אין סימן ברור (כמו בסיפור על מר זוטרא חסידא).</w:t>
      </w:r>
    </w:p>
    <w:p w:rsidR="00156190" w:rsidRPr="003D14B1" w:rsidRDefault="00156190" w:rsidP="00156190">
      <w:pPr>
        <w:pStyle w:val="a3"/>
        <w:bidi/>
        <w:spacing w:line="360" w:lineRule="auto"/>
        <w:ind w:left="4"/>
        <w:jc w:val="both"/>
        <w:rPr>
          <w:rFonts w:cs="David"/>
          <w:sz w:val="24"/>
          <w:szCs w:val="24"/>
        </w:rPr>
      </w:pPr>
    </w:p>
    <w:sectPr w:rsidR="00156190" w:rsidRPr="003D14B1" w:rsidSect="002A77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6310C"/>
    <w:multiLevelType w:val="hybridMultilevel"/>
    <w:tmpl w:val="58089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4C2323"/>
    <w:rsid w:val="000C3A0C"/>
    <w:rsid w:val="00156190"/>
    <w:rsid w:val="002A777E"/>
    <w:rsid w:val="003D14B1"/>
    <w:rsid w:val="004133FB"/>
    <w:rsid w:val="004C2323"/>
    <w:rsid w:val="004C24D7"/>
    <w:rsid w:val="00545BF0"/>
    <w:rsid w:val="00621917"/>
    <w:rsid w:val="006D55D1"/>
    <w:rsid w:val="007D1DFA"/>
    <w:rsid w:val="007F653B"/>
    <w:rsid w:val="00886157"/>
    <w:rsid w:val="00AD03B6"/>
    <w:rsid w:val="00B34C02"/>
    <w:rsid w:val="00C714AF"/>
    <w:rsid w:val="00D90C29"/>
    <w:rsid w:val="00DB2C78"/>
    <w:rsid w:val="00E750D2"/>
    <w:rsid w:val="00E8570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C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2522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zzz</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יחיאלי</cp:lastModifiedBy>
  <cp:revision>3</cp:revision>
  <dcterms:created xsi:type="dcterms:W3CDTF">2012-12-22T20:14:00Z</dcterms:created>
  <dcterms:modified xsi:type="dcterms:W3CDTF">2012-12-22T20:20:00Z</dcterms:modified>
</cp:coreProperties>
</file>